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ED1B8A" w:rsidRPr="00F05ABA" w14:paraId="4493390D" w14:textId="77777777" w:rsidTr="00075816">
        <w:trPr>
          <w:trHeight w:val="1345"/>
        </w:trPr>
        <w:tc>
          <w:tcPr>
            <w:tcW w:w="1638" w:type="dxa"/>
          </w:tcPr>
          <w:p w14:paraId="17DA7640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</w:p>
          <w:p w14:paraId="32F72223" w14:textId="77777777" w:rsidR="00ED1B8A" w:rsidRPr="00F05ABA" w:rsidRDefault="00ED1B8A" w:rsidP="00075816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 w:val="20"/>
                <w:szCs w:val="20"/>
                <w:shd w:val="clear" w:color="auto" w:fill="FAFAFA"/>
                <w:lang w:val="en-US"/>
              </w:rPr>
              <w:drawing>
                <wp:inline distT="0" distB="0" distL="0" distR="0" wp14:anchorId="32B93480" wp14:editId="6ECF7738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4DE55BA0" w14:textId="77777777" w:rsidR="00ED1B8A" w:rsidRDefault="00ED1B8A" w:rsidP="00075816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</w:p>
          <w:p w14:paraId="72F8EAD4" w14:textId="77777777" w:rsidR="00ED1B8A" w:rsidRPr="00F05ABA" w:rsidRDefault="00ED1B8A" w:rsidP="00075816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5255C1D3" w14:textId="77777777" w:rsidR="00ED1B8A" w:rsidRPr="00F05ABA" w:rsidRDefault="00ED1B8A" w:rsidP="00075816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3EF98A67" w14:textId="77777777" w:rsidR="00ED1B8A" w:rsidRPr="00F05ABA" w:rsidRDefault="00ED1B8A" w:rsidP="00075816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063F6797" w14:textId="77777777" w:rsidR="00ED1B8A" w:rsidRPr="00F05ABA" w:rsidRDefault="00ED1B8A" w:rsidP="00075816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4975BAFC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 w:val="2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>e-mail: rectorat@uav.ro</w:t>
            </w:r>
          </w:p>
        </w:tc>
      </w:tr>
    </w:tbl>
    <w:p w14:paraId="5F0089F4" w14:textId="77777777" w:rsidR="00ED1B8A" w:rsidRPr="00D01658" w:rsidRDefault="00ED1B8A" w:rsidP="00ED1B8A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>Operator de date cu caracter personal nr. 2929</w:t>
      </w:r>
    </w:p>
    <w:p w14:paraId="61F7602D" w14:textId="77777777" w:rsidR="00175B3A" w:rsidRDefault="00175B3A">
      <w:pPr>
        <w:spacing w:before="201"/>
        <w:rPr>
          <w:sz w:val="19"/>
        </w:rPr>
      </w:pPr>
    </w:p>
    <w:p w14:paraId="6A319508" w14:textId="0D51AC87" w:rsidR="00175B3A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11547ADB" w14:textId="77777777" w:rsidR="001C401A" w:rsidRPr="000A1084" w:rsidRDefault="001C401A" w:rsidP="000A1084">
      <w:pPr>
        <w:jc w:val="center"/>
        <w:rPr>
          <w:b/>
          <w:bCs/>
          <w:sz w:val="20"/>
          <w:szCs w:val="20"/>
        </w:rPr>
      </w:pPr>
    </w:p>
    <w:p w14:paraId="0B2F4953" w14:textId="77777777" w:rsidR="00175B3A" w:rsidRDefault="00175B3A">
      <w:pPr>
        <w:spacing w:before="58"/>
        <w:rPr>
          <w:b/>
          <w:sz w:val="14"/>
        </w:rPr>
      </w:pPr>
    </w:p>
    <w:p w14:paraId="301C9A78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43D6186C" w14:textId="77777777">
        <w:trPr>
          <w:trHeight w:val="297"/>
        </w:trPr>
        <w:tc>
          <w:tcPr>
            <w:tcW w:w="3384" w:type="dxa"/>
          </w:tcPr>
          <w:p w14:paraId="545EB29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4FF6A2F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30F572C7" w14:textId="77777777">
        <w:trPr>
          <w:trHeight w:val="297"/>
        </w:trPr>
        <w:tc>
          <w:tcPr>
            <w:tcW w:w="3384" w:type="dxa"/>
          </w:tcPr>
          <w:p w14:paraId="0773C06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7EA8E8BC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47A14D70" w14:textId="77777777">
        <w:trPr>
          <w:trHeight w:val="297"/>
        </w:trPr>
        <w:tc>
          <w:tcPr>
            <w:tcW w:w="3384" w:type="dxa"/>
          </w:tcPr>
          <w:p w14:paraId="5341072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00BC01E5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5BCDF168" w14:textId="77777777">
        <w:trPr>
          <w:trHeight w:val="297"/>
        </w:trPr>
        <w:tc>
          <w:tcPr>
            <w:tcW w:w="3384" w:type="dxa"/>
          </w:tcPr>
          <w:p w14:paraId="122491B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1FF6D81F" w14:textId="7A8AB51F" w:rsidR="00175B3A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Mathematics</w:t>
            </w:r>
          </w:p>
        </w:tc>
      </w:tr>
      <w:tr w:rsidR="00175B3A" w14:paraId="72058FB2" w14:textId="77777777">
        <w:trPr>
          <w:trHeight w:val="297"/>
        </w:trPr>
        <w:tc>
          <w:tcPr>
            <w:tcW w:w="3384" w:type="dxa"/>
          </w:tcPr>
          <w:p w14:paraId="06B2FBF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1B78529A" w14:textId="4163E18E" w:rsidR="00175B3A" w:rsidRDefault="003B7DB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</w:t>
            </w:r>
            <w:r w:rsidR="009C3197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4"/>
                <w:sz w:val="14"/>
              </w:rPr>
              <w:t>202</w:t>
            </w:r>
            <w:r w:rsidR="009C3197">
              <w:rPr>
                <w:b/>
                <w:spacing w:val="-4"/>
                <w:sz w:val="14"/>
              </w:rPr>
              <w:t>5</w:t>
            </w:r>
          </w:p>
        </w:tc>
      </w:tr>
      <w:tr w:rsidR="00175B3A" w14:paraId="0A111DEC" w14:textId="77777777">
        <w:trPr>
          <w:trHeight w:val="297"/>
        </w:trPr>
        <w:tc>
          <w:tcPr>
            <w:tcW w:w="3384" w:type="dxa"/>
          </w:tcPr>
          <w:p w14:paraId="5A6690E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Ciclul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studii</w:t>
            </w:r>
          </w:p>
        </w:tc>
        <w:tc>
          <w:tcPr>
            <w:tcW w:w="6300" w:type="dxa"/>
          </w:tcPr>
          <w:p w14:paraId="2BD0F34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69658F9B" w14:textId="77777777">
        <w:trPr>
          <w:trHeight w:val="297"/>
        </w:trPr>
        <w:tc>
          <w:tcPr>
            <w:tcW w:w="3384" w:type="dxa"/>
          </w:tcPr>
          <w:p w14:paraId="4DB58C4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48D33358" w14:textId="4FA4C0E1" w:rsidR="00175B3A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Mathematics</w:t>
            </w:r>
            <w:r w:rsidR="004F03B4">
              <w:rPr>
                <w:b/>
                <w:sz w:val="14"/>
              </w:rPr>
              <w:t xml:space="preserve"> i</w:t>
            </w:r>
            <w:r>
              <w:rPr>
                <w:b/>
                <w:sz w:val="14"/>
              </w:rPr>
              <w:t>nformatics</w:t>
            </w:r>
          </w:p>
        </w:tc>
      </w:tr>
      <w:tr w:rsidR="00175B3A" w14:paraId="1822C47A" w14:textId="77777777">
        <w:trPr>
          <w:trHeight w:val="297"/>
        </w:trPr>
        <w:tc>
          <w:tcPr>
            <w:tcW w:w="3384" w:type="dxa"/>
          </w:tcPr>
          <w:p w14:paraId="784328F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43867427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08D83AAA" w14:textId="77777777" w:rsidR="00175B3A" w:rsidRDefault="00175B3A">
      <w:pPr>
        <w:spacing w:before="41"/>
        <w:rPr>
          <w:b/>
          <w:sz w:val="14"/>
        </w:rPr>
      </w:pPr>
    </w:p>
    <w:p w14:paraId="6A4F4407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E52632" w14:paraId="14A864D4" w14:textId="77777777">
        <w:trPr>
          <w:trHeight w:val="297"/>
        </w:trPr>
        <w:tc>
          <w:tcPr>
            <w:tcW w:w="3384" w:type="dxa"/>
          </w:tcPr>
          <w:p w14:paraId="7DF1AA30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3B1AF7FC" w14:textId="42962D53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Complex Analysis</w:t>
            </w:r>
          </w:p>
        </w:tc>
      </w:tr>
      <w:tr w:rsidR="00E52632" w14:paraId="63994F31" w14:textId="77777777">
        <w:trPr>
          <w:trHeight w:val="297"/>
        </w:trPr>
        <w:tc>
          <w:tcPr>
            <w:tcW w:w="3384" w:type="dxa"/>
          </w:tcPr>
          <w:p w14:paraId="1B30CA2C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39C8B375" w14:textId="724BBB30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Gașpar Octavian-Păstorel, Ph. D.</w:t>
            </w:r>
          </w:p>
        </w:tc>
      </w:tr>
      <w:tr w:rsidR="00E52632" w14:paraId="16F7B38E" w14:textId="77777777">
        <w:trPr>
          <w:trHeight w:val="297"/>
        </w:trPr>
        <w:tc>
          <w:tcPr>
            <w:tcW w:w="3384" w:type="dxa"/>
          </w:tcPr>
          <w:p w14:paraId="0B7FF3C7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46B7DF20" w14:textId="0C79BCE6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Gașpar Octavian-Păstorel, Ph. D.</w:t>
            </w:r>
          </w:p>
        </w:tc>
      </w:tr>
      <w:tr w:rsidR="00E52632" w14:paraId="1AD3DBF0" w14:textId="77777777">
        <w:trPr>
          <w:trHeight w:val="297"/>
        </w:trPr>
        <w:tc>
          <w:tcPr>
            <w:tcW w:w="3384" w:type="dxa"/>
          </w:tcPr>
          <w:p w14:paraId="37B01BC3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7A25E51F" w14:textId="35508917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E52632" w14:paraId="24B542BA" w14:textId="77777777">
        <w:trPr>
          <w:trHeight w:val="297"/>
        </w:trPr>
        <w:tc>
          <w:tcPr>
            <w:tcW w:w="3384" w:type="dxa"/>
          </w:tcPr>
          <w:p w14:paraId="4CA93B76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135AFD54" w14:textId="6DA80068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E52632" w14:paraId="41817524" w14:textId="77777777">
        <w:trPr>
          <w:trHeight w:val="297"/>
        </w:trPr>
        <w:tc>
          <w:tcPr>
            <w:tcW w:w="3384" w:type="dxa"/>
          </w:tcPr>
          <w:p w14:paraId="58CDB0C9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6603F957" w14:textId="7DD6D971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summative</w:t>
            </w:r>
          </w:p>
        </w:tc>
      </w:tr>
      <w:tr w:rsidR="00E52632" w14:paraId="57EF037C" w14:textId="77777777">
        <w:trPr>
          <w:trHeight w:val="297"/>
        </w:trPr>
        <w:tc>
          <w:tcPr>
            <w:tcW w:w="3384" w:type="dxa"/>
          </w:tcPr>
          <w:p w14:paraId="1E77CD8E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75159481" w14:textId="4F424F07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compulsory</w:t>
            </w:r>
          </w:p>
        </w:tc>
      </w:tr>
    </w:tbl>
    <w:p w14:paraId="0765982C" w14:textId="77777777" w:rsidR="00175B3A" w:rsidRDefault="00175B3A">
      <w:pPr>
        <w:spacing w:before="41"/>
        <w:rPr>
          <w:b/>
          <w:sz w:val="14"/>
        </w:rPr>
      </w:pPr>
    </w:p>
    <w:p w14:paraId="5F8B8794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175B3A" w14:paraId="4A42380F" w14:textId="77777777">
        <w:trPr>
          <w:trHeight w:val="297"/>
        </w:trPr>
        <w:tc>
          <w:tcPr>
            <w:tcW w:w="6300" w:type="dxa"/>
          </w:tcPr>
          <w:p w14:paraId="06DD306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6E97A282" w14:textId="3DDEAC0A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0F4C7128" w14:textId="77777777">
        <w:trPr>
          <w:trHeight w:val="297"/>
        </w:trPr>
        <w:tc>
          <w:tcPr>
            <w:tcW w:w="6300" w:type="dxa"/>
          </w:tcPr>
          <w:p w14:paraId="696D6167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</w:t>
            </w:r>
            <w:r w:rsidR="00E52632">
              <w:rPr>
                <w:spacing w:val="4"/>
                <w:sz w:val="14"/>
              </w:rPr>
              <w:t>L</w:t>
            </w:r>
            <w:r w:rsidR="00E52632" w:rsidRPr="00E52632">
              <w:rPr>
                <w:sz w:val="14"/>
              </w:rPr>
              <w:t>ecture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243E90F9" w14:textId="227AD613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2C7CC65A" w14:textId="77777777">
        <w:trPr>
          <w:trHeight w:val="297"/>
        </w:trPr>
        <w:tc>
          <w:tcPr>
            <w:tcW w:w="6300" w:type="dxa"/>
          </w:tcPr>
          <w:p w14:paraId="029DD710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pacing w:val="7"/>
                <w:sz w:val="14"/>
              </w:rPr>
              <w:t>S</w:t>
            </w:r>
            <w:r w:rsidR="00E52632" w:rsidRPr="00E52632">
              <w:rPr>
                <w:sz w:val="14"/>
              </w:rPr>
              <w:t>eminar/laboratory/project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7C5037E2" w14:textId="5D735398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6BF88D25" w14:textId="77777777">
        <w:trPr>
          <w:trHeight w:val="297"/>
        </w:trPr>
        <w:tc>
          <w:tcPr>
            <w:tcW w:w="6300" w:type="dxa"/>
          </w:tcPr>
          <w:p w14:paraId="49D22EC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="00E52632"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1F5A72F3" w14:textId="32777096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56</w:t>
            </w:r>
          </w:p>
        </w:tc>
      </w:tr>
      <w:tr w:rsidR="00175B3A" w14:paraId="79A5F8B5" w14:textId="77777777">
        <w:trPr>
          <w:trHeight w:val="297"/>
        </w:trPr>
        <w:tc>
          <w:tcPr>
            <w:tcW w:w="6300" w:type="dxa"/>
          </w:tcPr>
          <w:p w14:paraId="394BBF7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29FD68B0" w14:textId="12488947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23C4B3E6" w14:textId="77777777">
        <w:trPr>
          <w:trHeight w:val="295"/>
        </w:trPr>
        <w:tc>
          <w:tcPr>
            <w:tcW w:w="6300" w:type="dxa"/>
            <w:tcBorders>
              <w:bottom w:val="single" w:sz="12" w:space="0" w:color="000000"/>
            </w:tcBorders>
          </w:tcPr>
          <w:p w14:paraId="6F43309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  <w:tcBorders>
              <w:bottom w:val="single" w:sz="12" w:space="0" w:color="000000"/>
            </w:tcBorders>
          </w:tcPr>
          <w:p w14:paraId="7FACD06C" w14:textId="0BE16EB8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5ADBB885" w14:textId="77777777">
        <w:trPr>
          <w:trHeight w:val="294"/>
        </w:trPr>
        <w:tc>
          <w:tcPr>
            <w:tcW w:w="96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4C36515A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175B3A" w14:paraId="7E540777" w14:textId="77777777">
        <w:trPr>
          <w:trHeight w:val="295"/>
        </w:trPr>
        <w:tc>
          <w:tcPr>
            <w:tcW w:w="6300" w:type="dxa"/>
            <w:tcBorders>
              <w:top w:val="single" w:sz="12" w:space="0" w:color="000000"/>
            </w:tcBorders>
          </w:tcPr>
          <w:p w14:paraId="3A42A374" w14:textId="77777777" w:rsidR="00175B3A" w:rsidRDefault="003B7DB3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  <w:tcBorders>
              <w:top w:val="single" w:sz="12" w:space="0" w:color="000000"/>
            </w:tcBorders>
          </w:tcPr>
          <w:p w14:paraId="29856A84" w14:textId="49A9CC90" w:rsidR="00175B3A" w:rsidRDefault="001C401A">
            <w:pPr>
              <w:pStyle w:val="TableParagraph"/>
              <w:spacing w:before="58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35</w:t>
            </w:r>
          </w:p>
        </w:tc>
      </w:tr>
      <w:tr w:rsidR="00175B3A" w14:paraId="2F6B19FF" w14:textId="77777777">
        <w:trPr>
          <w:trHeight w:val="297"/>
        </w:trPr>
        <w:tc>
          <w:tcPr>
            <w:tcW w:w="6300" w:type="dxa"/>
          </w:tcPr>
          <w:p w14:paraId="78AF654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7BCE2B96" w14:textId="12197C85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708576C7" w14:textId="77777777">
        <w:trPr>
          <w:trHeight w:val="297"/>
        </w:trPr>
        <w:tc>
          <w:tcPr>
            <w:tcW w:w="6300" w:type="dxa"/>
          </w:tcPr>
          <w:p w14:paraId="3AD112E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01CEAB12" w14:textId="56EA8865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30</w:t>
            </w:r>
          </w:p>
        </w:tc>
      </w:tr>
      <w:tr w:rsidR="00175B3A" w14:paraId="3BD1C652" w14:textId="77777777">
        <w:trPr>
          <w:trHeight w:val="297"/>
        </w:trPr>
        <w:tc>
          <w:tcPr>
            <w:tcW w:w="6300" w:type="dxa"/>
          </w:tcPr>
          <w:p w14:paraId="4B2A94B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3B9770DE" w14:textId="7E7F6188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1020C5F1" w14:textId="77777777">
        <w:trPr>
          <w:trHeight w:val="297"/>
        </w:trPr>
        <w:tc>
          <w:tcPr>
            <w:tcW w:w="6300" w:type="dxa"/>
          </w:tcPr>
          <w:p w14:paraId="79B2112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3F49DFF0" w14:textId="77CD8C40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7630F19D" w14:textId="77777777">
        <w:trPr>
          <w:trHeight w:val="297"/>
        </w:trPr>
        <w:tc>
          <w:tcPr>
            <w:tcW w:w="6300" w:type="dxa"/>
          </w:tcPr>
          <w:p w14:paraId="54567A8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14A76DEE" w14:textId="238A582E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43B62FC3" w14:textId="77777777">
        <w:trPr>
          <w:trHeight w:val="297"/>
        </w:trPr>
        <w:tc>
          <w:tcPr>
            <w:tcW w:w="6300" w:type="dxa"/>
          </w:tcPr>
          <w:p w14:paraId="4EB2100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="00E52632"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201E4127" w14:textId="103626A0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69</w:t>
            </w:r>
          </w:p>
        </w:tc>
      </w:tr>
      <w:tr w:rsidR="00175B3A" w14:paraId="6DCDB215" w14:textId="77777777">
        <w:trPr>
          <w:trHeight w:val="297"/>
        </w:trPr>
        <w:tc>
          <w:tcPr>
            <w:tcW w:w="6300" w:type="dxa"/>
          </w:tcPr>
          <w:p w14:paraId="3F53275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74189309" w14:textId="7363BCD1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125</w:t>
            </w:r>
          </w:p>
        </w:tc>
      </w:tr>
      <w:tr w:rsidR="00175B3A" w14:paraId="7E58A8CA" w14:textId="77777777">
        <w:trPr>
          <w:trHeight w:val="297"/>
        </w:trPr>
        <w:tc>
          <w:tcPr>
            <w:tcW w:w="6300" w:type="dxa"/>
          </w:tcPr>
          <w:p w14:paraId="0735CC8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35F475D1" w14:textId="544F9955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</w:tbl>
    <w:p w14:paraId="2A5053BB" w14:textId="77777777" w:rsidR="00175B3A" w:rsidRDefault="00175B3A">
      <w:pPr>
        <w:spacing w:before="42"/>
        <w:rPr>
          <w:sz w:val="14"/>
        </w:rPr>
      </w:pPr>
    </w:p>
    <w:p w14:paraId="66A8FAA2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7"/>
        <w:gridCol w:w="2787"/>
      </w:tblGrid>
      <w:tr w:rsidR="00175B3A" w14:paraId="2BAC4CB2" w14:textId="77777777" w:rsidTr="001C401A">
        <w:trPr>
          <w:trHeight w:val="297"/>
        </w:trPr>
        <w:tc>
          <w:tcPr>
            <w:tcW w:w="6897" w:type="dxa"/>
          </w:tcPr>
          <w:p w14:paraId="7BA4008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2787" w:type="dxa"/>
          </w:tcPr>
          <w:p w14:paraId="5DB60A0C" w14:textId="076C9787" w:rsidR="00175B3A" w:rsidRDefault="001C401A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Calculus in R and R^n</w:t>
            </w:r>
          </w:p>
        </w:tc>
      </w:tr>
      <w:tr w:rsidR="00175B3A" w14:paraId="74DE48C2" w14:textId="77777777" w:rsidTr="001C401A">
        <w:trPr>
          <w:trHeight w:val="297"/>
        </w:trPr>
        <w:tc>
          <w:tcPr>
            <w:tcW w:w="6897" w:type="dxa"/>
          </w:tcPr>
          <w:p w14:paraId="0C07167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2787" w:type="dxa"/>
          </w:tcPr>
          <w:p w14:paraId="06F4B55C" w14:textId="4154FF8D" w:rsidR="00175B3A" w:rsidRDefault="001C401A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 xml:space="preserve">Operating with mathematical notions </w:t>
            </w:r>
          </w:p>
        </w:tc>
      </w:tr>
    </w:tbl>
    <w:p w14:paraId="0E9A3F7A" w14:textId="77777777" w:rsidR="00175B3A" w:rsidRDefault="00175B3A">
      <w:pPr>
        <w:spacing w:before="41"/>
        <w:rPr>
          <w:sz w:val="14"/>
        </w:rPr>
      </w:pPr>
    </w:p>
    <w:p w14:paraId="4E81EEAE" w14:textId="77777777" w:rsidR="00E52632" w:rsidRDefault="00E52632">
      <w:pPr>
        <w:spacing w:before="41"/>
        <w:rPr>
          <w:sz w:val="14"/>
        </w:rPr>
      </w:pPr>
    </w:p>
    <w:p w14:paraId="69AE6E5D" w14:textId="77777777" w:rsidR="00E52632" w:rsidRDefault="00E52632">
      <w:pPr>
        <w:spacing w:before="41"/>
        <w:rPr>
          <w:sz w:val="14"/>
        </w:rPr>
      </w:pPr>
    </w:p>
    <w:p w14:paraId="63CCC7DD" w14:textId="77777777" w:rsidR="00E52632" w:rsidRDefault="00E52632">
      <w:pPr>
        <w:spacing w:before="41"/>
        <w:rPr>
          <w:sz w:val="14"/>
        </w:rPr>
      </w:pPr>
    </w:p>
    <w:p w14:paraId="421C6092" w14:textId="77777777" w:rsidR="00E52632" w:rsidRDefault="00E52632">
      <w:pPr>
        <w:spacing w:before="41"/>
        <w:rPr>
          <w:sz w:val="14"/>
        </w:rPr>
      </w:pPr>
    </w:p>
    <w:p w14:paraId="55B1A179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6A0905CF" w14:textId="77777777">
        <w:trPr>
          <w:trHeight w:val="885"/>
        </w:trPr>
        <w:tc>
          <w:tcPr>
            <w:tcW w:w="4860" w:type="dxa"/>
          </w:tcPr>
          <w:p w14:paraId="1A8C700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8B2AAEA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19539BD7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378E4FDD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9A9312" w14:textId="5D25A423" w:rsidR="00175B3A" w:rsidRDefault="001C401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  <w:r>
              <w:rPr>
                <w:b/>
                <w:sz w:val="14"/>
              </w:rPr>
              <w:t>Lecture room with black (or white) board and beamer</w:t>
            </w:r>
          </w:p>
        </w:tc>
      </w:tr>
      <w:tr w:rsidR="00175B3A" w14:paraId="531392EB" w14:textId="77777777">
        <w:trPr>
          <w:trHeight w:val="873"/>
        </w:trPr>
        <w:tc>
          <w:tcPr>
            <w:tcW w:w="4860" w:type="dxa"/>
          </w:tcPr>
          <w:p w14:paraId="7730C21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24930224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36C5D673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5EC0DC88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7D936AF" w14:textId="59DF4016" w:rsidR="00175B3A" w:rsidRDefault="001C401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  <w:r>
              <w:rPr>
                <w:b/>
                <w:sz w:val="14"/>
              </w:rPr>
              <w:t>Seminar room with black (or white) board and beamer</w:t>
            </w:r>
          </w:p>
        </w:tc>
      </w:tr>
      <w:tr w:rsidR="00175B3A" w14:paraId="4C350025" w14:textId="77777777">
        <w:trPr>
          <w:trHeight w:val="297"/>
        </w:trPr>
        <w:tc>
          <w:tcPr>
            <w:tcW w:w="4860" w:type="dxa"/>
          </w:tcPr>
          <w:p w14:paraId="30F815D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3869C19A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3EF9FCBC" w14:textId="77777777">
        <w:trPr>
          <w:trHeight w:val="297"/>
        </w:trPr>
        <w:tc>
          <w:tcPr>
            <w:tcW w:w="4860" w:type="dxa"/>
          </w:tcPr>
          <w:p w14:paraId="2853650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2258AD3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7618567" w14:textId="77777777" w:rsidR="00175B3A" w:rsidRDefault="00175B3A">
      <w:pPr>
        <w:spacing w:before="62"/>
        <w:rPr>
          <w:sz w:val="14"/>
        </w:rPr>
      </w:pPr>
    </w:p>
    <w:p w14:paraId="13477060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175B3A" w14:paraId="1B749C0F" w14:textId="77777777">
        <w:trPr>
          <w:trHeight w:val="705"/>
        </w:trPr>
        <w:tc>
          <w:tcPr>
            <w:tcW w:w="1536" w:type="dxa"/>
          </w:tcPr>
          <w:p w14:paraId="36AECFF1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B6C2BD0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profesionale</w:t>
            </w:r>
          </w:p>
        </w:tc>
        <w:tc>
          <w:tcPr>
            <w:tcW w:w="8148" w:type="dxa"/>
          </w:tcPr>
          <w:p w14:paraId="2FD9AD8B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2312E07" w14:textId="77777777" w:rsidR="001C401A" w:rsidRDefault="001C401A" w:rsidP="001C401A">
            <w:pPr>
              <w:adjustRightInd w:val="0"/>
              <w:ind w:firstLine="720"/>
              <w:jc w:val="both"/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C1. </w:t>
            </w:r>
            <w:r>
              <w:rPr>
                <w:bCs/>
                <w:color w:val="000000"/>
              </w:rPr>
              <w:t>Working with mathematical concepts and methods.</w:t>
            </w:r>
          </w:p>
          <w:p w14:paraId="33BF628A" w14:textId="77777777" w:rsidR="001C401A" w:rsidRDefault="001C401A" w:rsidP="001C401A">
            <w:pPr>
              <w:adjustRightInd w:val="0"/>
              <w:ind w:firstLine="720"/>
              <w:jc w:val="both"/>
              <w:rPr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C2. </w:t>
            </w:r>
            <w:r>
              <w:rPr>
                <w:bCs/>
                <w:color w:val="000000"/>
              </w:rPr>
              <w:t>Mathematical processing of data, analysis of phenomena and processes.</w:t>
            </w:r>
          </w:p>
          <w:p w14:paraId="6AF38650" w14:textId="1793534B" w:rsidR="00175B3A" w:rsidRPr="001C401A" w:rsidRDefault="001C401A" w:rsidP="001C401A">
            <w:pPr>
              <w:adjustRightInd w:val="0"/>
              <w:ind w:firstLine="72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C4. </w:t>
            </w:r>
            <w:r>
              <w:rPr>
                <w:bCs/>
                <w:color w:val="000000"/>
              </w:rPr>
              <w:t>Conceiving models for describing phenomena.</w:t>
            </w:r>
          </w:p>
        </w:tc>
      </w:tr>
      <w:tr w:rsidR="00175B3A" w14:paraId="17E5A13C" w14:textId="77777777">
        <w:trPr>
          <w:trHeight w:val="1233"/>
        </w:trPr>
        <w:tc>
          <w:tcPr>
            <w:tcW w:w="1536" w:type="dxa"/>
          </w:tcPr>
          <w:p w14:paraId="63939BA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0C6417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0CA1AC4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transversale</w:t>
            </w:r>
          </w:p>
        </w:tc>
        <w:tc>
          <w:tcPr>
            <w:tcW w:w="8148" w:type="dxa"/>
          </w:tcPr>
          <w:p w14:paraId="2471B54F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ECB812A" w14:textId="77777777" w:rsidR="00A004BF" w:rsidRDefault="00A004BF" w:rsidP="00A004BF">
            <w:pPr>
              <w:adjustRightInd w:val="0"/>
              <w:ind w:left="72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CT1.</w:t>
            </w:r>
            <w:r>
              <w:rPr>
                <w:color w:val="000000"/>
              </w:rPr>
              <w:t xml:space="preserve"> Applying the rules of organized and efficient work, of responsibie attitudes towards teaching-scientific field, to value the own creative potential, while respecting the principles and norms of professional ethics.</w:t>
            </w:r>
          </w:p>
          <w:p w14:paraId="1BEE1699" w14:textId="1C9AE2EA" w:rsidR="00175B3A" w:rsidRPr="00A004BF" w:rsidRDefault="00A004BF" w:rsidP="00A004BF">
            <w:pPr>
              <w:adjustRightInd w:val="0"/>
              <w:ind w:left="72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CT3.</w:t>
            </w:r>
            <w:r>
              <w:rPr>
                <w:color w:val="000000"/>
              </w:rPr>
              <w:t xml:space="preserve"> Efficient use of information, communication resources and assisted education both in </w:t>
            </w:r>
            <w:r w:rsidR="004F03B4">
              <w:rPr>
                <w:color w:val="000000"/>
              </w:rPr>
              <w:t>ro</w:t>
            </w:r>
            <w:r>
              <w:rPr>
                <w:color w:val="000000"/>
              </w:rPr>
              <w:t>manian and in an internationally widespread language.</w:t>
            </w:r>
          </w:p>
        </w:tc>
      </w:tr>
    </w:tbl>
    <w:p w14:paraId="5F67305E" w14:textId="77777777" w:rsidR="00175B3A" w:rsidRDefault="00175B3A">
      <w:pPr>
        <w:spacing w:before="41"/>
        <w:rPr>
          <w:sz w:val="14"/>
        </w:rPr>
      </w:pPr>
    </w:p>
    <w:p w14:paraId="14B7817C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1B227169" w14:textId="77777777">
        <w:trPr>
          <w:trHeight w:val="885"/>
        </w:trPr>
        <w:tc>
          <w:tcPr>
            <w:tcW w:w="2088" w:type="dxa"/>
          </w:tcPr>
          <w:p w14:paraId="5EEF24C6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176298A6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3C86CE2E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AA08531" w14:textId="107AF70C" w:rsidR="00175B3A" w:rsidRPr="00A004BF" w:rsidRDefault="00A004BF" w:rsidP="006C6D86">
            <w:pPr>
              <w:pStyle w:val="TableParagraph"/>
              <w:tabs>
                <w:tab w:val="left" w:pos="381"/>
              </w:tabs>
              <w:spacing w:before="0" w:line="160" w:lineRule="exact"/>
              <w:ind w:left="38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Using of theoretical fundaments of mathematics and of formal models</w:t>
            </w:r>
          </w:p>
        </w:tc>
      </w:tr>
      <w:tr w:rsidR="00175B3A" w14:paraId="56E666BC" w14:textId="77777777">
        <w:trPr>
          <w:trHeight w:val="1053"/>
        </w:trPr>
        <w:tc>
          <w:tcPr>
            <w:tcW w:w="2088" w:type="dxa"/>
          </w:tcPr>
          <w:p w14:paraId="13657CF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77910CA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3A85DA2B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3C0F73B8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6A079A0" w14:textId="77777777" w:rsidR="00A004BF" w:rsidRDefault="00A004BF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Knowing fundamental concepts of complex analysis like holomorphy and complex integral</w:t>
            </w:r>
          </w:p>
          <w:p w14:paraId="12678410" w14:textId="77777777" w:rsidR="00A004BF" w:rsidRDefault="00A004BF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Assimilating important principles on holomorphic functions</w:t>
            </w:r>
          </w:p>
          <w:p w14:paraId="1662AF95" w14:textId="77777777" w:rsidR="00A004BF" w:rsidRDefault="00A004BF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Gaining knowledge on solving complex analysis problems</w:t>
            </w:r>
          </w:p>
          <w:p w14:paraId="37D73A5A" w14:textId="096A3D56" w:rsidR="00A004BF" w:rsidRPr="00A004BF" w:rsidRDefault="00A004BF" w:rsidP="00A004BF">
            <w:pPr>
              <w:pStyle w:val="TableParagraph"/>
              <w:numPr>
                <w:ilvl w:val="0"/>
                <w:numId w:val="8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Applying complex analysis methods in solving difficult classical analysis problems</w:t>
            </w:r>
          </w:p>
        </w:tc>
      </w:tr>
    </w:tbl>
    <w:p w14:paraId="6000248B" w14:textId="77777777" w:rsidR="00175B3A" w:rsidRDefault="00175B3A">
      <w:pPr>
        <w:spacing w:before="41"/>
        <w:rPr>
          <w:sz w:val="14"/>
        </w:rPr>
      </w:pPr>
    </w:p>
    <w:p w14:paraId="0086D812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9687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7"/>
      </w:tblGrid>
      <w:tr w:rsidR="00175B3A" w14:paraId="50355621" w14:textId="77777777" w:rsidTr="004F2591">
        <w:trPr>
          <w:trHeight w:val="297"/>
        </w:trPr>
        <w:tc>
          <w:tcPr>
            <w:tcW w:w="4848" w:type="dxa"/>
          </w:tcPr>
          <w:p w14:paraId="501BC96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550A94B1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7" w:type="dxa"/>
          </w:tcPr>
          <w:p w14:paraId="11F71D8D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AD6DA4" w14:paraId="4F03DA91" w14:textId="77777777" w:rsidTr="004F2591">
        <w:trPr>
          <w:trHeight w:val="837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9361AC3" w14:textId="751FEDC5" w:rsidR="00AD6DA4" w:rsidRDefault="00AD6DA4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1. Algebraic and topological structure of the complex plain. Stereographic projection, Complex functions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1BAD7E76" w14:textId="64F1A715" w:rsidR="00AD6DA4" w:rsidRDefault="00AD6DA4" w:rsidP="00AD6DA4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9D9439D" w14:textId="25A3CF09" w:rsidR="00AD6DA4" w:rsidRDefault="00AD6DA4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2 hrs</w:t>
            </w:r>
          </w:p>
        </w:tc>
      </w:tr>
      <w:tr w:rsidR="004F2591" w14:paraId="69F90028" w14:textId="77777777" w:rsidTr="004F2591">
        <w:trPr>
          <w:trHeight w:val="837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21B32D4" w14:textId="180598AD" w:rsidR="004F2591" w:rsidRDefault="004F2591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2. Analiticity and complex derivation. Partial derivatives and the Cauchy Riemann conditions. Power series. Holomorphic functions as power series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879BAEC" w14:textId="43F7E285" w:rsidR="004F2591" w:rsidRDefault="004F2591" w:rsidP="00AD6DA4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4104A349" w14:textId="0676AF61" w:rsidR="004F2591" w:rsidRDefault="004F2591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6 hrs</w:t>
            </w:r>
          </w:p>
        </w:tc>
      </w:tr>
      <w:tr w:rsidR="00AD6DA4" w14:paraId="3D48131C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60B8A8FF" w14:textId="1111F915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3.Compex integral. Path integrals. Cauchy integrals. Analytic functions. Primitivable functions. Theorems of Moreera and Weierstrass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7382B5C" w14:textId="798D6148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30E43167" w14:textId="3FDA1260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8 hrs</w:t>
            </w:r>
          </w:p>
        </w:tc>
      </w:tr>
      <w:tr w:rsidR="00AD6DA4" w14:paraId="5941F7F5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8BEA075" w14:textId="52D2537C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4. Power series expansions of analytic functions. Cauchy</w:t>
            </w:r>
            <w:r>
              <w:rPr>
                <w:sz w:val="14"/>
                <w:lang w:val="en-US"/>
              </w:rPr>
              <w:t xml:space="preserve">’s integral formula and Taylor representation. The maximum </w:t>
            </w:r>
            <w:proofErr w:type="spellStart"/>
            <w:r>
              <w:rPr>
                <w:sz w:val="14"/>
                <w:lang w:val="en-US"/>
              </w:rPr>
              <w:t>modulud</w:t>
            </w:r>
            <w:proofErr w:type="spellEnd"/>
            <w:r>
              <w:rPr>
                <w:sz w:val="14"/>
                <w:lang w:val="en-US"/>
              </w:rPr>
              <w:t xml:space="preserve"> principle. Theorems of Liouville and D’Alembert. Entire </w:t>
            </w:r>
            <w:proofErr w:type="spellStart"/>
            <w:proofErr w:type="gramStart"/>
            <w:r>
              <w:rPr>
                <w:sz w:val="14"/>
                <w:lang w:val="en-US"/>
              </w:rPr>
              <w:t>functions.Zeroes</w:t>
            </w:r>
            <w:proofErr w:type="spellEnd"/>
            <w:proofErr w:type="gramEnd"/>
            <w:r>
              <w:rPr>
                <w:sz w:val="14"/>
                <w:lang w:val="en-US"/>
              </w:rPr>
              <w:t xml:space="preserve"> of holomorphic functions. Holomorphic functions on an annulus. Laurent representations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141E6F2A" w14:textId="69D9A1F2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E9B5CBF" w14:textId="5D26C250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8 hrs</w:t>
            </w:r>
          </w:p>
        </w:tc>
      </w:tr>
      <w:tr w:rsidR="00AD6DA4" w14:paraId="01B115B7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31788018" w14:textId="019AC4EE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5. Residues. The index theorem. Singularities, residues and the residue formula. Cauchy’s theorem. Applications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76D6F447" w14:textId="2981A1D3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2F6646A6" w14:textId="6D29F170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4F2591" w14:paraId="2E775F8F" w14:textId="77777777" w:rsidTr="004F2591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180F7B93" w14:textId="003E128B" w:rsidR="004F2591" w:rsidRDefault="004F2591" w:rsidP="005819D8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Lecture </w:t>
            </w:r>
            <w:r w:rsidRPr="003D6120">
              <w:rPr>
                <w:sz w:val="14"/>
              </w:rPr>
              <w:t>References</w:t>
            </w:r>
          </w:p>
          <w:p w14:paraId="25048142" w14:textId="77777777" w:rsidR="004F2591" w:rsidRDefault="004F2591" w:rsidP="005819D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 L. V. Ahlfors: Complex Analysis. An Introduction to the Theory of Analytic Functions of One Complex Variable, 3rd Edition, McGraw-Hill, 1979. </w:t>
            </w:r>
          </w:p>
          <w:p w14:paraId="38DF8610" w14:textId="77777777" w:rsidR="004F2591" w:rsidRDefault="004F2591" w:rsidP="005819D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D. Gaspar, N. </w:t>
            </w:r>
            <w:proofErr w:type="gramStart"/>
            <w:r>
              <w:rPr>
                <w:b/>
                <w:bCs/>
                <w:sz w:val="18"/>
                <w:szCs w:val="18"/>
              </w:rPr>
              <w:t>Suciu :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Analiză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complexă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 w:val="18"/>
                <w:szCs w:val="18"/>
              </w:rPr>
              <w:t>Editura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Academiei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Romane, 1999. </w:t>
            </w:r>
          </w:p>
          <w:p w14:paraId="7226D96B" w14:textId="77777777" w:rsidR="004F2591" w:rsidRDefault="004F2591" w:rsidP="005819D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3. J. R. </w:t>
            </w:r>
            <w:proofErr w:type="gramStart"/>
            <w:r>
              <w:rPr>
                <w:b/>
                <w:bCs/>
                <w:sz w:val="18"/>
                <w:szCs w:val="18"/>
              </w:rPr>
              <w:t>Muir :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Complex Analysis: A Modern First Course in Function Theory, </w:t>
            </w:r>
            <w:proofErr w:type="spellStart"/>
            <w:r>
              <w:rPr>
                <w:b/>
                <w:bCs/>
                <w:sz w:val="18"/>
                <w:szCs w:val="18"/>
              </w:rPr>
              <w:t>Wiley&amp;Sons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, New Jersey, 2015. </w:t>
            </w:r>
          </w:p>
          <w:p w14:paraId="576FD442" w14:textId="77777777" w:rsidR="004F2591" w:rsidRDefault="004F2591" w:rsidP="005819D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4. W. </w:t>
            </w:r>
            <w:proofErr w:type="gramStart"/>
            <w:r>
              <w:rPr>
                <w:b/>
                <w:bCs/>
                <w:sz w:val="18"/>
                <w:szCs w:val="18"/>
              </w:rPr>
              <w:t>Rudin :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Real and Complex Analysis, McGraw-Hill, 1987 </w:t>
            </w:r>
          </w:p>
          <w:p w14:paraId="782EC183" w14:textId="77777777" w:rsidR="004F2591" w:rsidRDefault="004F2591" w:rsidP="005819D8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5. D. G. Zill, P. D. </w:t>
            </w:r>
            <w:proofErr w:type="gramStart"/>
            <w:r>
              <w:rPr>
                <w:b/>
                <w:bCs/>
                <w:sz w:val="18"/>
                <w:szCs w:val="18"/>
              </w:rPr>
              <w:t>Shanahan :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A First Course in Complex Analysis with Applications, Jones and Bartlett, 2003. </w:t>
            </w:r>
          </w:p>
          <w:p w14:paraId="34C2C11E" w14:textId="77777777" w:rsidR="004F2591" w:rsidRDefault="004F2591" w:rsidP="005819D8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b/>
                <w:sz w:val="14"/>
              </w:rPr>
            </w:pPr>
          </w:p>
        </w:tc>
      </w:tr>
    </w:tbl>
    <w:p w14:paraId="0A3E106C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5F6A04B1" w14:textId="77777777">
        <w:trPr>
          <w:trHeight w:val="297"/>
        </w:trPr>
        <w:tc>
          <w:tcPr>
            <w:tcW w:w="4848" w:type="dxa"/>
          </w:tcPr>
          <w:p w14:paraId="0A08B11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0A7D84A3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0C56222E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69742FA4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142ED2C" w14:textId="6E72D229" w:rsidR="00175B3A" w:rsidRDefault="00A004BF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1. Algebraic and topological structure of the complex plain. Stereographic projection, Complex functions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7F914F8D" w14:textId="429DE2DE" w:rsidR="00175B3A" w:rsidRDefault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04A5D8A0" w14:textId="09377FA6" w:rsidR="00AD6DA4" w:rsidRDefault="00A004BF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 hrs</w:t>
            </w:r>
          </w:p>
        </w:tc>
      </w:tr>
      <w:tr w:rsidR="00AD6DA4" w14:paraId="42A2A115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CBDB6A5" w14:textId="7C273290" w:rsidR="00AD6DA4" w:rsidRDefault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2. Analiticity and complex derivation. Partial derivatives and the Cauchy Riemann conditions. Power series. Holomorphic functions as power series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5149D1B" w14:textId="4FFC7B62" w:rsidR="00AD6DA4" w:rsidRDefault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02DBBB07" w14:textId="20AF1820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 hrs</w:t>
            </w:r>
          </w:p>
        </w:tc>
      </w:tr>
      <w:tr w:rsidR="00AD6DA4" w14:paraId="28242013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DC64D90" w14:textId="3F1E618E" w:rsidR="00AD6DA4" w:rsidRDefault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lastRenderedPageBreak/>
              <w:t>3.Compex integral. Path integrals. Cauchy integrals. Analytic functions. Primitivable functions. Theorems of Moreera and Weierstrass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B9A473C" w14:textId="241635D2" w:rsidR="00AD6DA4" w:rsidRDefault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38AB8BEF" w14:textId="0026FBA4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8 hrs</w:t>
            </w:r>
          </w:p>
        </w:tc>
      </w:tr>
      <w:tr w:rsidR="00AD6DA4" w14:paraId="5B91A8DC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81A1466" w14:textId="1411E6F4" w:rsidR="00AD6DA4" w:rsidRPr="00AD6DA4" w:rsidRDefault="00AD6DA4">
            <w:pPr>
              <w:pStyle w:val="TableParagraph"/>
              <w:spacing w:before="155"/>
              <w:rPr>
                <w:sz w:val="14"/>
                <w:lang w:val="en-US"/>
              </w:rPr>
            </w:pPr>
            <w:r>
              <w:rPr>
                <w:sz w:val="14"/>
              </w:rPr>
              <w:t>4. Power series expansions of analytic functions. Cauchy</w:t>
            </w:r>
            <w:r>
              <w:rPr>
                <w:sz w:val="14"/>
                <w:lang w:val="en-US"/>
              </w:rPr>
              <w:t xml:space="preserve">’s integral formula and Taylor representation. The maximum </w:t>
            </w:r>
            <w:proofErr w:type="spellStart"/>
            <w:r>
              <w:rPr>
                <w:sz w:val="14"/>
                <w:lang w:val="en-US"/>
              </w:rPr>
              <w:t>modulud</w:t>
            </w:r>
            <w:proofErr w:type="spellEnd"/>
            <w:r>
              <w:rPr>
                <w:sz w:val="14"/>
                <w:lang w:val="en-US"/>
              </w:rPr>
              <w:t xml:space="preserve"> principle. Theorems of Liouville and D’Alembert. Entire </w:t>
            </w:r>
            <w:proofErr w:type="spellStart"/>
            <w:proofErr w:type="gramStart"/>
            <w:r>
              <w:rPr>
                <w:sz w:val="14"/>
                <w:lang w:val="en-US"/>
              </w:rPr>
              <w:t>functions.Zeroes</w:t>
            </w:r>
            <w:proofErr w:type="spellEnd"/>
            <w:proofErr w:type="gramEnd"/>
            <w:r>
              <w:rPr>
                <w:sz w:val="14"/>
                <w:lang w:val="en-US"/>
              </w:rPr>
              <w:t xml:space="preserve"> of holomorphic functions. Holomorphic functions on an annulus. Laurent representations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B8D609A" w14:textId="031B7D41" w:rsidR="00AD6DA4" w:rsidRDefault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49BFBBBA" w14:textId="3834B6D7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8 hrs</w:t>
            </w:r>
          </w:p>
        </w:tc>
      </w:tr>
      <w:tr w:rsidR="00AD6DA4" w14:paraId="75BA8B47" w14:textId="77777777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3D23D6E7" w14:textId="5F8F8112" w:rsidR="00AD6DA4" w:rsidRDefault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5. Residues. The index theorem. Singularities, residues and the residue formula. Cauchy’s theorem. Applications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2F842B9" w14:textId="50A0D06C" w:rsidR="00AD6DA4" w:rsidRDefault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bottom w:val="single" w:sz="12" w:space="0" w:color="000000"/>
            </w:tcBorders>
          </w:tcPr>
          <w:p w14:paraId="29246EC7" w14:textId="537BCC96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175B3A" w14:paraId="5BB8B2DE" w14:textId="77777777" w:rsidTr="006C6D86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954854A" w14:textId="77777777" w:rsidR="003D6120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  <w:p w14:paraId="7CAAB262" w14:textId="77777777" w:rsidR="00A004BF" w:rsidRDefault="00A004BF" w:rsidP="00A004B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1. L. V. Ahlfors: Complex Analysis. An Introduction to the Theory of Analytic Functions of One Complex Variable, 3rd Edition, McGraw-Hill, 1979. </w:t>
            </w:r>
          </w:p>
          <w:p w14:paraId="3B8A67AB" w14:textId="77777777" w:rsidR="00A004BF" w:rsidRDefault="00A004BF" w:rsidP="00A004B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D. Gaspar, N. </w:t>
            </w:r>
            <w:proofErr w:type="gramStart"/>
            <w:r>
              <w:rPr>
                <w:b/>
                <w:bCs/>
                <w:sz w:val="18"/>
                <w:szCs w:val="18"/>
              </w:rPr>
              <w:t>Suciu :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Analiză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complexă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 w:val="18"/>
                <w:szCs w:val="18"/>
              </w:rPr>
              <w:t>Editura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Academiei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Romane, 1999. </w:t>
            </w:r>
          </w:p>
          <w:p w14:paraId="47B7CD95" w14:textId="77777777" w:rsidR="00A004BF" w:rsidRDefault="00A004BF" w:rsidP="00A004B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3. J. R. </w:t>
            </w:r>
            <w:proofErr w:type="gramStart"/>
            <w:r>
              <w:rPr>
                <w:b/>
                <w:bCs/>
                <w:sz w:val="18"/>
                <w:szCs w:val="18"/>
              </w:rPr>
              <w:t>Muir :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Complex Analysis: A Modern First Course in Function Theory, </w:t>
            </w:r>
            <w:proofErr w:type="spellStart"/>
            <w:r>
              <w:rPr>
                <w:b/>
                <w:bCs/>
                <w:sz w:val="18"/>
                <w:szCs w:val="18"/>
              </w:rPr>
              <w:t>Wiley&amp;Sons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, New Jersey, 2015. </w:t>
            </w:r>
          </w:p>
          <w:p w14:paraId="7156AB63" w14:textId="77777777" w:rsidR="00A004BF" w:rsidRDefault="00A004BF" w:rsidP="00A004B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4. W. </w:t>
            </w:r>
            <w:proofErr w:type="gramStart"/>
            <w:r>
              <w:rPr>
                <w:b/>
                <w:bCs/>
                <w:sz w:val="18"/>
                <w:szCs w:val="18"/>
              </w:rPr>
              <w:t>Rudin :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Real and Complex Analysis, McGraw-Hill, 1987 </w:t>
            </w:r>
          </w:p>
          <w:p w14:paraId="24F9E223" w14:textId="77777777" w:rsidR="00A004BF" w:rsidRDefault="00A004BF" w:rsidP="00A004BF">
            <w:pPr>
              <w:pStyle w:val="Defaul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5. D. G. Zill, P. D. </w:t>
            </w:r>
            <w:proofErr w:type="gramStart"/>
            <w:r>
              <w:rPr>
                <w:b/>
                <w:bCs/>
                <w:sz w:val="18"/>
                <w:szCs w:val="18"/>
              </w:rPr>
              <w:t>Shanahan :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A First Course in Complex Analysis with Applications, Jones and Bartlett, 2003. </w:t>
            </w:r>
          </w:p>
          <w:p w14:paraId="12B242C8" w14:textId="77777777" w:rsidR="00175B3A" w:rsidRDefault="00175B3A" w:rsidP="00E52632">
            <w:pPr>
              <w:pStyle w:val="TableParagraph"/>
              <w:tabs>
                <w:tab w:val="left" w:pos="439"/>
              </w:tabs>
              <w:spacing w:before="19"/>
              <w:ind w:left="439"/>
              <w:rPr>
                <w:b/>
                <w:sz w:val="14"/>
              </w:rPr>
            </w:pPr>
          </w:p>
        </w:tc>
      </w:tr>
      <w:tr w:rsidR="00175B3A" w14:paraId="38FAA330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57B2E209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049668FC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19464CBD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4B487BD3" w14:textId="77777777">
        <w:trPr>
          <w:trHeight w:val="282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02532895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Laboratory</w:t>
            </w:r>
            <w:r w:rsidR="003D6120">
              <w:rPr>
                <w:sz w:val="14"/>
              </w:rPr>
              <w:t xml:space="preserve"> Outline</w:t>
            </w:r>
          </w:p>
        </w:tc>
      </w:tr>
      <w:tr w:rsidR="00175B3A" w14:paraId="79CBCC55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6C32120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76DAA070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3C49E465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0DE085EE" w14:textId="77777777">
        <w:trPr>
          <w:trHeight w:val="289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1A6ACA53" w14:textId="77777777" w:rsidR="00175B3A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</w:p>
        </w:tc>
      </w:tr>
    </w:tbl>
    <w:p w14:paraId="797EC2A4" w14:textId="77777777" w:rsidR="00175B3A" w:rsidRDefault="00175B3A">
      <w:pPr>
        <w:spacing w:before="63"/>
        <w:rPr>
          <w:sz w:val="14"/>
        </w:rPr>
      </w:pPr>
    </w:p>
    <w:p w14:paraId="0EFDFCDA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7072BA" wp14:editId="54EE36BD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850265"/>
                <wp:effectExtent l="0" t="0" r="22860" b="260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850265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54D218A" w14:textId="77777777" w:rsidR="005C4BD1" w:rsidRDefault="005C4BD1" w:rsidP="005C4BD1">
                            <w:pPr>
                              <w:pStyle w:val="Default"/>
                            </w:pPr>
                          </w:p>
                          <w:p w14:paraId="5B0C87D1" w14:textId="632CBC77" w:rsidR="005C4BD1" w:rsidRDefault="005C4BD1" w:rsidP="005C4BD1">
                            <w:pPr>
                              <w:pStyle w:val="Defaul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The contents of the course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according to the ones in other similar univers</w:t>
                            </w:r>
                            <w:r w:rsidR="004F03B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ties both inland and abroad. For a better tailoring to the needs of the labor market, meetings were held with both business and education representatives. </w:t>
                            </w:r>
                          </w:p>
                          <w:p w14:paraId="7040971B" w14:textId="21A5532C" w:rsidR="00175B3A" w:rsidRPr="004F2591" w:rsidRDefault="00175B3A">
                            <w:pPr>
                              <w:spacing w:before="20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072B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0.7pt;margin-top:19.75pt;width:484.2pt;height:66.95pt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" filled="f" strokeweight=".6pt">
                <v:path arrowok="t"/>
                <v:textbox inset="0,0,0,0">
                  <w:txbxContent>
                    <w:p w14:paraId="654D218A" w14:textId="77777777" w:rsidR="005C4BD1" w:rsidRDefault="005C4BD1" w:rsidP="005C4BD1">
                      <w:pPr>
                        <w:pStyle w:val="Default"/>
                      </w:pPr>
                    </w:p>
                    <w:p w14:paraId="5B0C87D1" w14:textId="632CBC77" w:rsidR="005C4BD1" w:rsidRDefault="005C4BD1" w:rsidP="005C4BD1">
                      <w:pPr>
                        <w:pStyle w:val="Defaul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The contents of the course </w:t>
                      </w:r>
                      <w:proofErr w:type="gramStart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is</w:t>
                      </w:r>
                      <w:proofErr w:type="gramEnd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 according to the ones in other similar univers</w:t>
                      </w:r>
                      <w:r w:rsidR="004F03B4">
                        <w:rPr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ties both inland and abroad. For a better tailoring to the needs of the labor market, meetings were held with both business and education representatives. </w:t>
                      </w:r>
                    </w:p>
                    <w:p w14:paraId="7040971B" w14:textId="21A5532C" w:rsidR="00175B3A" w:rsidRPr="004F2591" w:rsidRDefault="00175B3A">
                      <w:pPr>
                        <w:spacing w:before="20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>
        <w:rPr>
          <w:sz w:val="14"/>
        </w:rPr>
        <w:t xml:space="preserve">                   </w:t>
      </w:r>
      <w:r w:rsidRPr="003D6120">
        <w:rPr>
          <w:sz w:val="14"/>
        </w:rPr>
        <w:t xml:space="preserve">within the field of the program </w:t>
      </w:r>
    </w:p>
    <w:p w14:paraId="40D9E0A2" w14:textId="77777777" w:rsidR="00175B3A" w:rsidRDefault="00175B3A">
      <w:pPr>
        <w:spacing w:before="50"/>
        <w:rPr>
          <w:sz w:val="14"/>
        </w:rPr>
      </w:pPr>
    </w:p>
    <w:p w14:paraId="018B6B7D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1E50FFCB" w14:textId="77777777" w:rsidTr="003D6120">
        <w:trPr>
          <w:trHeight w:val="657"/>
        </w:trPr>
        <w:tc>
          <w:tcPr>
            <w:tcW w:w="1152" w:type="dxa"/>
          </w:tcPr>
          <w:p w14:paraId="5CA75C92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1B9735CB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12F76924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38894CFD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065B679F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7BA2ECD7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3464E925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175B3A" w14:paraId="4083C1DA" w14:textId="77777777" w:rsidTr="003D6120">
        <w:trPr>
          <w:trHeight w:val="1053"/>
        </w:trPr>
        <w:tc>
          <w:tcPr>
            <w:tcW w:w="1152" w:type="dxa"/>
          </w:tcPr>
          <w:p w14:paraId="2471CFF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D42DEB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966D29E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</w:tcPr>
          <w:p w14:paraId="08AAE3D3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698F779" w14:textId="77777777" w:rsidR="00175B3A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Correctness and completion of gained knowledge;</w:t>
            </w:r>
          </w:p>
          <w:p w14:paraId="35EBED5F" w14:textId="77777777" w:rsidR="004F03B4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Logical coherence;</w:t>
            </w:r>
          </w:p>
          <w:p w14:paraId="760C3124" w14:textId="77777777" w:rsidR="004F03B4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Degree of assimilation of specific terms.</w:t>
            </w:r>
          </w:p>
          <w:p w14:paraId="69A0B00B" w14:textId="77777777" w:rsidR="004F03B4" w:rsidRDefault="004F03B4" w:rsidP="004F03B4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</w:p>
          <w:p w14:paraId="1EF2C2C3" w14:textId="48C1FDDD" w:rsidR="004F03B4" w:rsidRDefault="004F03B4" w:rsidP="004F03B4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Criteria concerning attitude aspects: thoroughness, interst for individual study</w:t>
            </w:r>
          </w:p>
        </w:tc>
        <w:tc>
          <w:tcPr>
            <w:tcW w:w="2425" w:type="dxa"/>
          </w:tcPr>
          <w:p w14:paraId="622673A7" w14:textId="02CE530A" w:rsidR="00175B3A" w:rsidRDefault="005C4BD1">
            <w:pPr>
              <w:pStyle w:val="TableParagraph"/>
              <w:spacing w:before="90"/>
              <w:ind w:left="0"/>
              <w:rPr>
                <w:sz w:val="14"/>
              </w:rPr>
            </w:pPr>
            <w:r>
              <w:rPr>
                <w:sz w:val="14"/>
              </w:rPr>
              <w:t>Oral evaluation</w:t>
            </w:r>
          </w:p>
          <w:p w14:paraId="5C620189" w14:textId="77777777" w:rsidR="00175B3A" w:rsidRDefault="00175B3A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7C565D99" w14:textId="548E820B" w:rsidR="005C4BD1" w:rsidRDefault="005C4BD1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A1FB6FC" w14:textId="2DBBDD54" w:rsidR="004F03B4" w:rsidRDefault="004F03B4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1B26BC0E" w14:textId="77777777" w:rsidR="004F03B4" w:rsidRDefault="004F03B4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82FAC13" w14:textId="670D17C9" w:rsidR="005C4BD1" w:rsidRDefault="005C4BD1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  <w:r>
              <w:rPr>
                <w:sz w:val="14"/>
              </w:rPr>
              <w:t>Active participations at lectures</w:t>
            </w:r>
          </w:p>
        </w:tc>
        <w:tc>
          <w:tcPr>
            <w:tcW w:w="1151" w:type="dxa"/>
          </w:tcPr>
          <w:p w14:paraId="57E95002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5B510D61" w14:textId="77777777" w:rsidR="00175B3A" w:rsidRDefault="003B7DB3">
            <w:pPr>
              <w:pStyle w:val="TableParagraph"/>
              <w:spacing w:before="1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40%</w:t>
            </w:r>
          </w:p>
          <w:p w14:paraId="7F7EF0EE" w14:textId="38092513" w:rsidR="005C4BD1" w:rsidRDefault="005C4BD1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51E02863" w14:textId="1F7A39AE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2F038847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4F7B193B" w14:textId="4149D7C1" w:rsidR="00175B3A" w:rsidRDefault="005C4BD1">
            <w:pPr>
              <w:pStyle w:val="TableParagraph"/>
              <w:spacing w:before="19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</w:tc>
      </w:tr>
      <w:tr w:rsidR="00175B3A" w14:paraId="3AC12007" w14:textId="77777777" w:rsidTr="003D6120">
        <w:trPr>
          <w:trHeight w:val="885"/>
        </w:trPr>
        <w:tc>
          <w:tcPr>
            <w:tcW w:w="1152" w:type="dxa"/>
          </w:tcPr>
          <w:p w14:paraId="19B0A4BC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28AC804A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7CC24F00" w14:textId="77777777" w:rsidR="00175B3A" w:rsidRDefault="003B7DB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</w:tcPr>
          <w:p w14:paraId="455DB513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32E36A3D" w14:textId="77777777" w:rsidR="00175B3A" w:rsidRDefault="004F03B4" w:rsidP="004F03B4">
            <w:pPr>
              <w:pStyle w:val="TableParagraph"/>
              <w:numPr>
                <w:ilvl w:val="0"/>
                <w:numId w:val="10"/>
              </w:numPr>
              <w:spacing w:before="0" w:line="160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Capacity of operating with gained notions;</w:t>
            </w:r>
          </w:p>
          <w:p w14:paraId="37E6422F" w14:textId="77777777" w:rsidR="004F03B4" w:rsidRDefault="004F03B4" w:rsidP="004F03B4">
            <w:pPr>
              <w:pStyle w:val="TableParagraph"/>
              <w:numPr>
                <w:ilvl w:val="0"/>
                <w:numId w:val="10"/>
              </w:numPr>
              <w:spacing w:before="0" w:line="160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Capacity of practical application.</w:t>
            </w:r>
          </w:p>
          <w:p w14:paraId="01F434A8" w14:textId="77777777" w:rsidR="004F03B4" w:rsidRDefault="004F03B4" w:rsidP="004F03B4">
            <w:pPr>
              <w:pStyle w:val="TableParagraph"/>
              <w:spacing w:before="0" w:line="160" w:lineRule="exact"/>
              <w:ind w:left="300"/>
              <w:rPr>
                <w:b/>
                <w:sz w:val="14"/>
              </w:rPr>
            </w:pPr>
          </w:p>
          <w:p w14:paraId="36F88055" w14:textId="3CACC7BF" w:rsidR="004F03B4" w:rsidRDefault="004F03B4" w:rsidP="004F03B4">
            <w:pPr>
              <w:pStyle w:val="TableParagraph"/>
              <w:spacing w:before="0" w:line="160" w:lineRule="exact"/>
              <w:ind w:left="300"/>
              <w:rPr>
                <w:b/>
                <w:sz w:val="14"/>
              </w:rPr>
            </w:pPr>
            <w:r>
              <w:rPr>
                <w:b/>
                <w:sz w:val="14"/>
              </w:rPr>
              <w:t>Criteria concerning attitude aspects: thoroughness, interst for individual study</w:t>
            </w:r>
          </w:p>
        </w:tc>
        <w:tc>
          <w:tcPr>
            <w:tcW w:w="2425" w:type="dxa"/>
          </w:tcPr>
          <w:p w14:paraId="765FFBF7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75E0B354" w14:textId="77777777" w:rsidR="00175B3A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Written exam (within the exam session)</w:t>
            </w:r>
          </w:p>
          <w:p w14:paraId="489FD4F5" w14:textId="77777777" w:rsidR="004F03B4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5B5230AF" w14:textId="7AA9B6CB" w:rsidR="004F03B4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Active participation at seminars</w:t>
            </w:r>
          </w:p>
        </w:tc>
        <w:tc>
          <w:tcPr>
            <w:tcW w:w="1151" w:type="dxa"/>
          </w:tcPr>
          <w:p w14:paraId="2D55E357" w14:textId="77777777" w:rsidR="004F03B4" w:rsidRDefault="004F03B4">
            <w:pPr>
              <w:pStyle w:val="TableParagraph"/>
              <w:spacing w:before="1"/>
              <w:ind w:left="300"/>
              <w:rPr>
                <w:spacing w:val="-5"/>
                <w:sz w:val="14"/>
              </w:rPr>
            </w:pPr>
          </w:p>
          <w:p w14:paraId="780C74AD" w14:textId="20746BBD" w:rsidR="00175B3A" w:rsidRDefault="004F03B4">
            <w:pPr>
              <w:pStyle w:val="TableParagraph"/>
              <w:spacing w:before="1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0%</w:t>
            </w:r>
          </w:p>
          <w:p w14:paraId="25F35EFB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1171446B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10E4F614" w14:textId="048F886C" w:rsidR="00175B3A" w:rsidRDefault="004F03B4">
            <w:pPr>
              <w:pStyle w:val="TableParagraph"/>
              <w:spacing w:before="19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</w:tc>
      </w:tr>
      <w:tr w:rsidR="00175B3A" w14:paraId="75872A4E" w14:textId="77777777" w:rsidTr="003D6120">
        <w:trPr>
          <w:trHeight w:val="477"/>
        </w:trPr>
        <w:tc>
          <w:tcPr>
            <w:tcW w:w="1152" w:type="dxa"/>
          </w:tcPr>
          <w:p w14:paraId="1DF6805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14A559C0" w14:textId="77777777" w:rsidR="00175B3A" w:rsidRDefault="003D6120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</w:tcPr>
          <w:p w14:paraId="2670E8A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</w:tcPr>
          <w:p w14:paraId="549B0B1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</w:tcPr>
          <w:p w14:paraId="5B054DD1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19404589" w14:textId="77777777" w:rsidTr="003D6120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</w:tcPr>
          <w:p w14:paraId="5D6EFB4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</w:tcPr>
          <w:p w14:paraId="05ABBAA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</w:tcPr>
          <w:p w14:paraId="2825426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</w:tcPr>
          <w:p w14:paraId="38727005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6E0CB0BA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51B86AD1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2AE6A9CC" w14:textId="11003683" w:rsidR="00175B3A" w:rsidRDefault="004F03B4">
            <w:pPr>
              <w:pStyle w:val="TableParagraph"/>
              <w:spacing w:before="127"/>
              <w:ind w:left="295"/>
              <w:rPr>
                <w:b/>
                <w:sz w:val="14"/>
              </w:rPr>
            </w:pPr>
            <w:r>
              <w:rPr>
                <w:b/>
                <w:sz w:val="14"/>
              </w:rPr>
              <w:t>Knowing fundamental notions, logical coherence in presentation, solving an easy exercise</w:t>
            </w:r>
          </w:p>
        </w:tc>
      </w:tr>
    </w:tbl>
    <w:p w14:paraId="77E4C38E" w14:textId="77777777" w:rsidR="00175B3A" w:rsidRDefault="00175B3A">
      <w:pPr>
        <w:spacing w:before="1"/>
        <w:rPr>
          <w:sz w:val="7"/>
        </w:rPr>
      </w:pPr>
    </w:p>
    <w:p w14:paraId="1E2F25AF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11C5713C" w14:textId="0DC3AC37" w:rsidR="00175B3A" w:rsidRDefault="003D6120">
      <w:pPr>
        <w:spacing w:before="19"/>
        <w:ind w:left="646"/>
        <w:rPr>
          <w:sz w:val="16"/>
          <w:szCs w:val="16"/>
        </w:rPr>
      </w:pPr>
      <w:r w:rsidRPr="00672997">
        <w:rPr>
          <w:sz w:val="16"/>
          <w:szCs w:val="16"/>
        </w:rPr>
        <w:t>Course coordinator</w:t>
      </w:r>
    </w:p>
    <w:p w14:paraId="26B27BB2" w14:textId="6FCDB4D1" w:rsidR="004F2591" w:rsidRDefault="004F2591">
      <w:pPr>
        <w:spacing w:before="19"/>
        <w:ind w:left="646"/>
        <w:rPr>
          <w:sz w:val="14"/>
        </w:rPr>
      </w:pPr>
      <w:r>
        <w:rPr>
          <w:sz w:val="14"/>
        </w:rPr>
        <w:t>Conf. univ. Dr. Octavian-Pastorel GASPAR</w:t>
      </w:r>
    </w:p>
    <w:p w14:paraId="5E95C949" w14:textId="419EA9B1" w:rsidR="00175B3A" w:rsidRDefault="003B7DB3">
      <w:pPr>
        <w:spacing w:before="98"/>
        <w:ind w:left="464"/>
        <w:rPr>
          <w:spacing w:val="-2"/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Seminar/laboratory/project coordinator</w:t>
      </w:r>
    </w:p>
    <w:p w14:paraId="7EE0B733" w14:textId="76181026" w:rsidR="004F2591" w:rsidRDefault="004F2591">
      <w:pPr>
        <w:spacing w:before="98"/>
        <w:ind w:left="464"/>
        <w:rPr>
          <w:sz w:val="14"/>
        </w:rPr>
      </w:pPr>
      <w:r>
        <w:rPr>
          <w:sz w:val="14"/>
        </w:rPr>
        <w:t>Conf.uinv. Dr. Octavian-Pastorel GASPAR</w:t>
      </w:r>
    </w:p>
    <w:p w14:paraId="3357E217" w14:textId="77777777" w:rsidR="00175B3A" w:rsidRDefault="00175B3A">
      <w:pPr>
        <w:spacing w:before="19"/>
        <w:ind w:left="464"/>
        <w:rPr>
          <w:sz w:val="14"/>
        </w:rPr>
      </w:pPr>
    </w:p>
    <w:p w14:paraId="4D896DC3" w14:textId="77777777" w:rsidR="00175B3A" w:rsidRDefault="003B7DB3">
      <w:pPr>
        <w:spacing w:before="98"/>
        <w:ind w:left="464"/>
        <w:rPr>
          <w:sz w:val="14"/>
        </w:rPr>
      </w:pPr>
      <w:r>
        <w:br w:type="column"/>
      </w:r>
      <w:r w:rsidR="003D6120" w:rsidRPr="003D6120">
        <w:rPr>
          <w:sz w:val="14"/>
        </w:rPr>
        <w:t>Head of the Department</w:t>
      </w:r>
    </w:p>
    <w:p w14:paraId="2C44B0C7" w14:textId="5BEA0C36" w:rsidR="00175B3A" w:rsidRDefault="003B7DB3" w:rsidP="00A17088">
      <w:pPr>
        <w:spacing w:before="19"/>
        <w:ind w:left="464" w:right="-295" w:hanging="322"/>
        <w:rPr>
          <w:sz w:val="14"/>
        </w:rPr>
      </w:pPr>
      <w:r>
        <w:rPr>
          <w:sz w:val="14"/>
        </w:rPr>
        <w:t>Lec</w:t>
      </w:r>
      <w:r w:rsidR="00A17088">
        <w:rPr>
          <w:sz w:val="14"/>
        </w:rPr>
        <w:t>t.univ.dr.</w:t>
      </w:r>
      <w:r>
        <w:rPr>
          <w:spacing w:val="7"/>
          <w:sz w:val="14"/>
        </w:rPr>
        <w:t xml:space="preserve"> </w:t>
      </w:r>
      <w:r>
        <w:rPr>
          <w:spacing w:val="-2"/>
          <w:sz w:val="14"/>
        </w:rPr>
        <w:t>Lorena</w:t>
      </w:r>
      <w:r w:rsidR="00A17088">
        <w:rPr>
          <w:spacing w:val="-2"/>
          <w:sz w:val="14"/>
        </w:rPr>
        <w:t xml:space="preserve"> Camelia POPA</w:t>
      </w:r>
      <w:r w:rsidR="00A17088">
        <w:rPr>
          <w:spacing w:val="-2"/>
          <w:sz w:val="14"/>
        </w:rPr>
        <w:tab/>
      </w:r>
    </w:p>
    <w:p w14:paraId="623E7B16" w14:textId="77777777" w:rsidR="00175B3A" w:rsidRDefault="003B7DB3" w:rsidP="00A17088">
      <w:pPr>
        <w:spacing w:before="98"/>
        <w:ind w:left="1134" w:firstLine="283"/>
        <w:rPr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Dean</w:t>
      </w:r>
    </w:p>
    <w:p w14:paraId="1204EF0F" w14:textId="685A08C1" w:rsidR="00175B3A" w:rsidRDefault="00A17088" w:rsidP="00A17088">
      <w:pPr>
        <w:spacing w:before="19"/>
        <w:ind w:left="720"/>
        <w:rPr>
          <w:sz w:val="14"/>
        </w:rPr>
      </w:pPr>
      <w:r>
        <w:rPr>
          <w:sz w:val="14"/>
        </w:rPr>
        <w:t>Prof</w:t>
      </w:r>
      <w:r w:rsidR="003B7DB3">
        <w:rPr>
          <w:sz w:val="14"/>
        </w:rPr>
        <w:t>.univ.dr.</w:t>
      </w:r>
      <w:r w:rsidR="003B7DB3">
        <w:rPr>
          <w:spacing w:val="8"/>
          <w:sz w:val="14"/>
        </w:rPr>
        <w:t xml:space="preserve"> </w:t>
      </w:r>
      <w:r>
        <w:rPr>
          <w:sz w:val="14"/>
        </w:rPr>
        <w:t>Sorin-Florin NĂDĂBAN</w:t>
      </w:r>
    </w:p>
    <w:p w14:paraId="610EBF09" w14:textId="77777777" w:rsidR="004F2591" w:rsidRDefault="004F2591" w:rsidP="00A17088">
      <w:pPr>
        <w:spacing w:before="19"/>
        <w:ind w:left="720"/>
        <w:rPr>
          <w:sz w:val="14"/>
        </w:rPr>
      </w:pPr>
    </w:p>
    <w:sectPr w:rsidR="004F2591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2" w15:restartNumberingAfterBreak="0">
    <w:nsid w:val="1D101D1E"/>
    <w:multiLevelType w:val="hybridMultilevel"/>
    <w:tmpl w:val="5A6EA4E2"/>
    <w:lvl w:ilvl="0" w:tplc="0409000F">
      <w:start w:val="1"/>
      <w:numFmt w:val="decimal"/>
      <w:lvlText w:val="%1."/>
      <w:lvlJc w:val="left"/>
      <w:pPr>
        <w:ind w:left="1018" w:hanging="360"/>
      </w:pPr>
    </w:lvl>
    <w:lvl w:ilvl="1" w:tplc="04090019" w:tentative="1">
      <w:start w:val="1"/>
      <w:numFmt w:val="lowerLetter"/>
      <w:lvlText w:val="%2."/>
      <w:lvlJc w:val="left"/>
      <w:pPr>
        <w:ind w:left="1738" w:hanging="360"/>
      </w:pPr>
    </w:lvl>
    <w:lvl w:ilvl="2" w:tplc="0409001B" w:tentative="1">
      <w:start w:val="1"/>
      <w:numFmt w:val="lowerRoman"/>
      <w:lvlText w:val="%3."/>
      <w:lvlJc w:val="right"/>
      <w:pPr>
        <w:ind w:left="2458" w:hanging="180"/>
      </w:pPr>
    </w:lvl>
    <w:lvl w:ilvl="3" w:tplc="0409000F" w:tentative="1">
      <w:start w:val="1"/>
      <w:numFmt w:val="decimal"/>
      <w:lvlText w:val="%4."/>
      <w:lvlJc w:val="left"/>
      <w:pPr>
        <w:ind w:left="3178" w:hanging="360"/>
      </w:pPr>
    </w:lvl>
    <w:lvl w:ilvl="4" w:tplc="04090019" w:tentative="1">
      <w:start w:val="1"/>
      <w:numFmt w:val="lowerLetter"/>
      <w:lvlText w:val="%5."/>
      <w:lvlJc w:val="left"/>
      <w:pPr>
        <w:ind w:left="3898" w:hanging="360"/>
      </w:pPr>
    </w:lvl>
    <w:lvl w:ilvl="5" w:tplc="0409001B" w:tentative="1">
      <w:start w:val="1"/>
      <w:numFmt w:val="lowerRoman"/>
      <w:lvlText w:val="%6."/>
      <w:lvlJc w:val="right"/>
      <w:pPr>
        <w:ind w:left="4618" w:hanging="180"/>
      </w:pPr>
    </w:lvl>
    <w:lvl w:ilvl="6" w:tplc="0409000F" w:tentative="1">
      <w:start w:val="1"/>
      <w:numFmt w:val="decimal"/>
      <w:lvlText w:val="%7."/>
      <w:lvlJc w:val="left"/>
      <w:pPr>
        <w:ind w:left="5338" w:hanging="360"/>
      </w:pPr>
    </w:lvl>
    <w:lvl w:ilvl="7" w:tplc="04090019" w:tentative="1">
      <w:start w:val="1"/>
      <w:numFmt w:val="lowerLetter"/>
      <w:lvlText w:val="%8."/>
      <w:lvlJc w:val="left"/>
      <w:pPr>
        <w:ind w:left="6058" w:hanging="360"/>
      </w:pPr>
    </w:lvl>
    <w:lvl w:ilvl="8" w:tplc="040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" w15:restartNumberingAfterBreak="0">
    <w:nsid w:val="1EE30F5F"/>
    <w:multiLevelType w:val="hybridMultilevel"/>
    <w:tmpl w:val="B36A7768"/>
    <w:lvl w:ilvl="0" w:tplc="A03A7DE2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8" w:hanging="360"/>
      </w:pPr>
    </w:lvl>
    <w:lvl w:ilvl="2" w:tplc="0409001B" w:tentative="1">
      <w:start w:val="1"/>
      <w:numFmt w:val="lowerRoman"/>
      <w:lvlText w:val="%3."/>
      <w:lvlJc w:val="right"/>
      <w:pPr>
        <w:ind w:left="2098" w:hanging="180"/>
      </w:pPr>
    </w:lvl>
    <w:lvl w:ilvl="3" w:tplc="0409000F" w:tentative="1">
      <w:start w:val="1"/>
      <w:numFmt w:val="decimal"/>
      <w:lvlText w:val="%4."/>
      <w:lvlJc w:val="left"/>
      <w:pPr>
        <w:ind w:left="2818" w:hanging="360"/>
      </w:pPr>
    </w:lvl>
    <w:lvl w:ilvl="4" w:tplc="04090019" w:tentative="1">
      <w:start w:val="1"/>
      <w:numFmt w:val="lowerLetter"/>
      <w:lvlText w:val="%5."/>
      <w:lvlJc w:val="left"/>
      <w:pPr>
        <w:ind w:left="3538" w:hanging="360"/>
      </w:pPr>
    </w:lvl>
    <w:lvl w:ilvl="5" w:tplc="0409001B" w:tentative="1">
      <w:start w:val="1"/>
      <w:numFmt w:val="lowerRoman"/>
      <w:lvlText w:val="%6."/>
      <w:lvlJc w:val="right"/>
      <w:pPr>
        <w:ind w:left="4258" w:hanging="180"/>
      </w:pPr>
    </w:lvl>
    <w:lvl w:ilvl="6" w:tplc="0409000F" w:tentative="1">
      <w:start w:val="1"/>
      <w:numFmt w:val="decimal"/>
      <w:lvlText w:val="%7."/>
      <w:lvlJc w:val="left"/>
      <w:pPr>
        <w:ind w:left="4978" w:hanging="360"/>
      </w:pPr>
    </w:lvl>
    <w:lvl w:ilvl="7" w:tplc="04090019" w:tentative="1">
      <w:start w:val="1"/>
      <w:numFmt w:val="lowerLetter"/>
      <w:lvlText w:val="%8."/>
      <w:lvlJc w:val="left"/>
      <w:pPr>
        <w:ind w:left="5698" w:hanging="360"/>
      </w:pPr>
    </w:lvl>
    <w:lvl w:ilvl="8" w:tplc="040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5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6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7" w15:restartNumberingAfterBreak="0">
    <w:nsid w:val="55346681"/>
    <w:multiLevelType w:val="hybridMultilevel"/>
    <w:tmpl w:val="74AEC1DA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5BD54D0C"/>
    <w:multiLevelType w:val="hybridMultilevel"/>
    <w:tmpl w:val="19A2B026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num w:numId="1" w16cid:durableId="1542479842">
    <w:abstractNumId w:val="0"/>
  </w:num>
  <w:num w:numId="2" w16cid:durableId="204871016">
    <w:abstractNumId w:val="9"/>
  </w:num>
  <w:num w:numId="3" w16cid:durableId="319388641">
    <w:abstractNumId w:val="5"/>
  </w:num>
  <w:num w:numId="4" w16cid:durableId="57680389">
    <w:abstractNumId w:val="6"/>
  </w:num>
  <w:num w:numId="5" w16cid:durableId="430702960">
    <w:abstractNumId w:val="4"/>
  </w:num>
  <w:num w:numId="6" w16cid:durableId="1493371581">
    <w:abstractNumId w:val="1"/>
  </w:num>
  <w:num w:numId="7" w16cid:durableId="446386975">
    <w:abstractNumId w:val="2"/>
  </w:num>
  <w:num w:numId="8" w16cid:durableId="337851695">
    <w:abstractNumId w:val="3"/>
  </w:num>
  <w:num w:numId="9" w16cid:durableId="1177576110">
    <w:abstractNumId w:val="8"/>
  </w:num>
  <w:num w:numId="10" w16cid:durableId="12175502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A1084"/>
    <w:rsid w:val="00175B3A"/>
    <w:rsid w:val="001C401A"/>
    <w:rsid w:val="001F5D37"/>
    <w:rsid w:val="00222E9F"/>
    <w:rsid w:val="003B7DB3"/>
    <w:rsid w:val="003D6120"/>
    <w:rsid w:val="004F03B4"/>
    <w:rsid w:val="004F2591"/>
    <w:rsid w:val="005C4BD1"/>
    <w:rsid w:val="006C6D86"/>
    <w:rsid w:val="00921C8F"/>
    <w:rsid w:val="009C3197"/>
    <w:rsid w:val="00A004BF"/>
    <w:rsid w:val="00A00FCB"/>
    <w:rsid w:val="00A17088"/>
    <w:rsid w:val="00AD6DA4"/>
    <w:rsid w:val="00AE57F4"/>
    <w:rsid w:val="00B97E52"/>
    <w:rsid w:val="00BC0D0E"/>
    <w:rsid w:val="00E52632"/>
    <w:rsid w:val="00ED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13"/>
  <w15:docId w15:val="{067A07B8-C89B-499E-B154-98C6E8FF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ED1B8A"/>
    <w:pPr>
      <w:keepNext/>
      <w:widowControl/>
      <w:autoSpaceDE/>
      <w:autoSpaceDN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ED1B8A"/>
    <w:pPr>
      <w:keepNext/>
      <w:widowControl/>
      <w:autoSpaceDE/>
      <w:autoSpaceDN/>
      <w:ind w:left="1440"/>
      <w:jc w:val="center"/>
      <w:outlineLvl w:val="1"/>
    </w:pPr>
    <w:rPr>
      <w:i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rsid w:val="00ED1B8A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ED1B8A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ED1B8A"/>
    <w:pPr>
      <w:widowControl/>
      <w:autoSpaceDE/>
      <w:autoSpaceDN/>
      <w:jc w:val="center"/>
    </w:pPr>
    <w:rPr>
      <w:rFonts w:ascii="Arial Narrow" w:hAnsi="Arial Narrow"/>
      <w:b/>
      <w:sz w:val="28"/>
      <w:szCs w:val="24"/>
    </w:rPr>
  </w:style>
  <w:style w:type="character" w:styleId="Hyperlink">
    <w:name w:val="Hyperlink"/>
    <w:uiPriority w:val="99"/>
    <w:qFormat/>
    <w:rsid w:val="00ED1B8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D1B8A"/>
    <w:rPr>
      <w:i/>
      <w:iCs/>
    </w:rPr>
  </w:style>
  <w:style w:type="table" w:styleId="TableGrid">
    <w:name w:val="Table Grid"/>
    <w:basedOn w:val="TableNormal"/>
    <w:uiPriority w:val="59"/>
    <w:rsid w:val="00ED1B8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004B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2024-10-08T06:09:00Z</dcterms:created>
  <dcterms:modified xsi:type="dcterms:W3CDTF">2024-10-08T06:09:00Z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